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00CF" w:rsidRDefault="007900CF" w:rsidP="007900CF">
      <w:pPr>
        <w:jc w:val="center"/>
        <w:rPr>
          <w:b/>
        </w:rPr>
      </w:pPr>
    </w:p>
    <w:p w:rsidR="007900CF" w:rsidRDefault="007900CF" w:rsidP="007900CF">
      <w:pPr>
        <w:jc w:val="center"/>
        <w:rPr>
          <w:b/>
        </w:rPr>
      </w:pPr>
    </w:p>
    <w:p w:rsidR="003D7F68" w:rsidRDefault="00BC4ED9" w:rsidP="007900CF">
      <w:pPr>
        <w:jc w:val="center"/>
        <w:rPr>
          <w:b/>
        </w:rPr>
      </w:pPr>
      <w:r w:rsidRPr="00F95DE5">
        <w:rPr>
          <w:b/>
        </w:rPr>
        <w:t>The role played by Advanced Nurse Practitioner in End of Life Preparation.</w:t>
      </w:r>
    </w:p>
    <w:p w:rsidR="007900CF" w:rsidRDefault="007900CF" w:rsidP="007900CF">
      <w:pPr>
        <w:jc w:val="center"/>
      </w:pPr>
    </w:p>
    <w:p w:rsidR="007900CF" w:rsidRDefault="007900CF" w:rsidP="007900CF">
      <w:pPr>
        <w:jc w:val="center"/>
      </w:pPr>
    </w:p>
    <w:p w:rsidR="007900CF" w:rsidRDefault="007900CF" w:rsidP="007900CF">
      <w:pPr>
        <w:jc w:val="center"/>
      </w:pPr>
    </w:p>
    <w:p w:rsidR="007900CF" w:rsidRDefault="007900CF" w:rsidP="007900CF">
      <w:pPr>
        <w:jc w:val="center"/>
      </w:pPr>
    </w:p>
    <w:p w:rsidR="007900CF" w:rsidRDefault="007900CF" w:rsidP="007900CF">
      <w:pPr>
        <w:jc w:val="center"/>
      </w:pPr>
    </w:p>
    <w:p w:rsidR="00F95DE5" w:rsidRPr="00F95DE5" w:rsidRDefault="00BC4ED9" w:rsidP="007900CF">
      <w:pPr>
        <w:jc w:val="center"/>
      </w:pPr>
      <w:r w:rsidRPr="00F95DE5">
        <w:t>Name</w:t>
      </w:r>
    </w:p>
    <w:p w:rsidR="00F95DE5" w:rsidRPr="00F95DE5" w:rsidRDefault="00BC4ED9" w:rsidP="007900CF">
      <w:pPr>
        <w:jc w:val="center"/>
      </w:pPr>
      <w:r w:rsidRPr="00F95DE5">
        <w:t>Institution of Affiliation</w:t>
      </w:r>
    </w:p>
    <w:p w:rsidR="00F95DE5" w:rsidRPr="00F95DE5" w:rsidRDefault="00BC4ED9" w:rsidP="007900CF">
      <w:pPr>
        <w:jc w:val="center"/>
      </w:pPr>
      <w:r w:rsidRPr="00F95DE5">
        <w:t>Professor</w:t>
      </w:r>
    </w:p>
    <w:p w:rsidR="00F95DE5" w:rsidRDefault="00BC4ED9" w:rsidP="007900CF">
      <w:pPr>
        <w:jc w:val="center"/>
      </w:pPr>
      <w:r w:rsidRPr="00F95DE5">
        <w:t>Date</w:t>
      </w:r>
    </w:p>
    <w:p w:rsidR="007900CF" w:rsidRDefault="007900CF">
      <w:pPr>
        <w:rPr>
          <w:b/>
        </w:rPr>
      </w:pPr>
    </w:p>
    <w:p w:rsidR="007900CF" w:rsidRDefault="007900CF">
      <w:pPr>
        <w:rPr>
          <w:b/>
        </w:rPr>
      </w:pPr>
    </w:p>
    <w:p w:rsidR="007900CF" w:rsidRDefault="007900CF">
      <w:pPr>
        <w:rPr>
          <w:b/>
        </w:rPr>
      </w:pPr>
    </w:p>
    <w:p w:rsidR="007900CF" w:rsidRDefault="007900CF">
      <w:pPr>
        <w:rPr>
          <w:b/>
        </w:rPr>
      </w:pPr>
    </w:p>
    <w:p w:rsidR="007900CF" w:rsidRDefault="007900CF">
      <w:pPr>
        <w:rPr>
          <w:b/>
        </w:rPr>
      </w:pPr>
    </w:p>
    <w:p w:rsidR="007900CF" w:rsidRDefault="007900CF">
      <w:pPr>
        <w:rPr>
          <w:b/>
        </w:rPr>
      </w:pPr>
    </w:p>
    <w:p w:rsidR="007900CF" w:rsidRDefault="007900CF">
      <w:pPr>
        <w:rPr>
          <w:b/>
        </w:rPr>
      </w:pPr>
    </w:p>
    <w:p w:rsidR="007900CF" w:rsidRDefault="007900CF">
      <w:pPr>
        <w:rPr>
          <w:b/>
        </w:rPr>
      </w:pPr>
    </w:p>
    <w:p w:rsidR="007900CF" w:rsidRDefault="007900CF">
      <w:pPr>
        <w:rPr>
          <w:b/>
        </w:rPr>
      </w:pPr>
    </w:p>
    <w:p w:rsidR="007900CF" w:rsidRDefault="007900CF">
      <w:pPr>
        <w:rPr>
          <w:b/>
        </w:rPr>
      </w:pPr>
    </w:p>
    <w:p w:rsidR="007900CF" w:rsidRDefault="007900CF">
      <w:pPr>
        <w:rPr>
          <w:b/>
        </w:rPr>
      </w:pPr>
    </w:p>
    <w:p w:rsidR="00F95DE5" w:rsidRPr="00F95DE5" w:rsidRDefault="00BC4ED9" w:rsidP="007900CF">
      <w:pPr>
        <w:jc w:val="center"/>
        <w:rPr>
          <w:b/>
        </w:rPr>
      </w:pPr>
      <w:r w:rsidRPr="00F95DE5">
        <w:rPr>
          <w:b/>
        </w:rPr>
        <w:lastRenderedPageBreak/>
        <w:t>The role played by Advanced Nurse Practitioner in End of Life Preparation.</w:t>
      </w:r>
    </w:p>
    <w:p w:rsidR="00003CCB" w:rsidRDefault="00BC4ED9" w:rsidP="009C1662">
      <w:pPr>
        <w:ind w:firstLine="720"/>
      </w:pPr>
      <w:r>
        <w:t xml:space="preserve">Palliative and end of life are two </w:t>
      </w:r>
      <w:r>
        <w:t>scenarios that any healthcare provider, including advanced nurse practitioners, faces during their professional life. Terminal illnesses like advanced cancers are situations that require to be handled carefully so that the patient is comfortable an</w:t>
      </w:r>
      <w:r w:rsidR="003D7F68">
        <w:t>d at peace even at their hour of</w:t>
      </w:r>
      <w:r>
        <w:t xml:space="preserve"> dying</w:t>
      </w:r>
      <w:r w:rsidR="008C4269">
        <w:t xml:space="preserve"> </w:t>
      </w:r>
      <w:r w:rsidR="008C4269" w:rsidRPr="007900CF">
        <w:rPr>
          <w:rFonts w:cs="Times New Roman"/>
          <w:szCs w:val="24"/>
        </w:rPr>
        <w:t>(</w:t>
      </w:r>
      <w:r w:rsidR="008C4269" w:rsidRPr="007900CF">
        <w:rPr>
          <w:rFonts w:cs="Times New Roman"/>
          <w:szCs w:val="24"/>
          <w:shd w:val="clear" w:color="auto" w:fill="FFFFFF"/>
        </w:rPr>
        <w:t>Lasater et al., 2019)</w:t>
      </w:r>
      <w:r w:rsidRPr="007900CF">
        <w:rPr>
          <w:rFonts w:cs="Times New Roman"/>
          <w:szCs w:val="24"/>
        </w:rPr>
        <w:t>.</w:t>
      </w:r>
      <w:r w:rsidR="003D7F68">
        <w:t xml:space="preserve"> The first in Preparation is to ensure that the patient has all the information regarding their eventuality. This information includes the prognosis of their condition based on the various parameters that have been done. The patient may just be having three months to their death based on that information. This needs to be shared with the patient for them to prepare. The patient may be a parent and having children who would require such information. It is always good for the nurse to first hold a talk with the patient regarding breaking the news to their children. The patient gives consent on whether to inform their family or not. Both verbal and written permission is crucial for this </w:t>
      </w:r>
      <w:r w:rsidR="003D7F68" w:rsidRPr="007900CF">
        <w:rPr>
          <w:rFonts w:cs="Times New Roman"/>
          <w:szCs w:val="24"/>
        </w:rPr>
        <w:t>exercise</w:t>
      </w:r>
      <w:r w:rsidR="008C4269" w:rsidRPr="007900CF">
        <w:rPr>
          <w:rFonts w:cs="Times New Roman"/>
          <w:szCs w:val="24"/>
        </w:rPr>
        <w:t xml:space="preserve"> (</w:t>
      </w:r>
      <w:r w:rsidR="008C4269" w:rsidRPr="007900CF">
        <w:rPr>
          <w:rFonts w:cs="Times New Roman"/>
          <w:szCs w:val="24"/>
          <w:shd w:val="clear" w:color="auto" w:fill="FFFFFF"/>
        </w:rPr>
        <w:t>Croxon et al., 2018)</w:t>
      </w:r>
      <w:r w:rsidR="003D7F68" w:rsidRPr="007900CF">
        <w:rPr>
          <w:rFonts w:cs="Times New Roman"/>
          <w:szCs w:val="24"/>
        </w:rPr>
        <w:t>.</w:t>
      </w:r>
      <w:r w:rsidR="003D7F68">
        <w:t xml:space="preserve"> The nurse should then discuss their expectations and where they would like to die located; most of the people would prefer dying at home. However, 80% of these people would die in nursing homes or hospitals while being </w:t>
      </w:r>
      <w:r w:rsidR="003D7F68" w:rsidRPr="007900CF">
        <w:rPr>
          <w:rFonts w:cs="Times New Roman"/>
          <w:szCs w:val="24"/>
        </w:rPr>
        <w:t>nursed</w:t>
      </w:r>
      <w:r w:rsidR="008C4269" w:rsidRPr="007900CF">
        <w:rPr>
          <w:rFonts w:cs="Times New Roman"/>
          <w:szCs w:val="24"/>
        </w:rPr>
        <w:t xml:space="preserve"> (</w:t>
      </w:r>
      <w:r w:rsidR="008C4269" w:rsidRPr="007900CF">
        <w:rPr>
          <w:rFonts w:cs="Times New Roman"/>
          <w:szCs w:val="24"/>
          <w:shd w:val="clear" w:color="auto" w:fill="FFFFFF"/>
        </w:rPr>
        <w:t>Croxon et al., 2018)</w:t>
      </w:r>
      <w:r w:rsidR="003D7F68" w:rsidRPr="007900CF">
        <w:rPr>
          <w:rFonts w:cs="Times New Roman"/>
          <w:szCs w:val="24"/>
        </w:rPr>
        <w:t>.</w:t>
      </w:r>
      <w:r w:rsidR="003D7F68">
        <w:t xml:space="preserve"> </w:t>
      </w:r>
      <w:r w:rsidR="00F95DE5">
        <w:t xml:space="preserve">After the patient accepts their fate and provides a plan where the dying should take place, it is then time to inform the children and the family of the patient. At this point, the advanced nurse can request the patient to either break </w:t>
      </w:r>
      <w:r w:rsidR="009C1662">
        <w:t>the sad</w:t>
      </w:r>
      <w:r w:rsidR="00F95DE5">
        <w:t xml:space="preserve"> news or the nurse does it on behalf. </w:t>
      </w:r>
      <w:r w:rsidR="009C1662">
        <w:t>The two parties need to be at peace and accept that one of them will be dying and eventually leave them. It is emotionally draining, but it has to be done, and the advanced nurse practitioner has to be involved and play a pivotal role in it.</w:t>
      </w:r>
    </w:p>
    <w:p w:rsidR="009C1662" w:rsidRDefault="00BC4ED9" w:rsidP="009C1662">
      <w:pPr>
        <w:ind w:firstLine="720"/>
      </w:pPr>
      <w:r>
        <w:t xml:space="preserve">The assertions by Judy on the end of life preparations would be useful as they ensure that all the required steps are followed while interacting with both the patient and their families. The </w:t>
      </w:r>
      <w:r>
        <w:lastRenderedPageBreak/>
        <w:t>part of the declaration about their properties and</w:t>
      </w:r>
      <w:r>
        <w:t xml:space="preserve"> how they should be managed is also an important part of the Preparation. This is because all the patient needs is peace and a feeling of fulfillment of what they wanted to be achieved before their </w:t>
      </w:r>
      <w:r w:rsidRPr="007900CF">
        <w:rPr>
          <w:rFonts w:cs="Times New Roman"/>
          <w:szCs w:val="24"/>
        </w:rPr>
        <w:t>demise</w:t>
      </w:r>
      <w:r w:rsidR="008C4269" w:rsidRPr="007900CF">
        <w:rPr>
          <w:rFonts w:cs="Times New Roman"/>
          <w:szCs w:val="24"/>
        </w:rPr>
        <w:t xml:space="preserve"> (</w:t>
      </w:r>
      <w:r w:rsidR="008C4269" w:rsidRPr="007900CF">
        <w:rPr>
          <w:rFonts w:cs="Times New Roman"/>
          <w:szCs w:val="24"/>
          <w:shd w:val="clear" w:color="auto" w:fill="FFFFFF"/>
        </w:rPr>
        <w:t>Lasater et al., 2019)</w:t>
      </w:r>
      <w:r w:rsidRPr="007900CF">
        <w:rPr>
          <w:rFonts w:cs="Times New Roman"/>
          <w:szCs w:val="24"/>
        </w:rPr>
        <w:t>.</w:t>
      </w:r>
      <w:r>
        <w:t xml:space="preserve"> All their instructions shou</w:t>
      </w:r>
      <w:r>
        <w:t>ld be met so that they will do so in peace and comfort even as they die, knowing that they have left having achieved what they needed. Professionally, I have learned that providing the patient with options regarding what they want to do as part of their Pr</w:t>
      </w:r>
      <w:r>
        <w:t xml:space="preserve">eparation renders them to make better and more fulfilling choices.  </w:t>
      </w:r>
    </w:p>
    <w:p w:rsidR="007900CF" w:rsidRDefault="007900CF" w:rsidP="009C1662"/>
    <w:p w:rsidR="007900CF" w:rsidRDefault="007900CF" w:rsidP="009C1662"/>
    <w:p w:rsidR="007900CF" w:rsidRDefault="007900CF" w:rsidP="009C1662"/>
    <w:p w:rsidR="007900CF" w:rsidRDefault="007900CF" w:rsidP="009C1662"/>
    <w:p w:rsidR="007900CF" w:rsidRDefault="007900CF" w:rsidP="009C1662"/>
    <w:p w:rsidR="007900CF" w:rsidRDefault="007900CF" w:rsidP="009C1662"/>
    <w:p w:rsidR="007900CF" w:rsidRDefault="007900CF" w:rsidP="009C1662"/>
    <w:p w:rsidR="007900CF" w:rsidRDefault="007900CF" w:rsidP="009C1662"/>
    <w:p w:rsidR="007900CF" w:rsidRDefault="007900CF" w:rsidP="009C1662"/>
    <w:p w:rsidR="007900CF" w:rsidRDefault="007900CF" w:rsidP="009C1662"/>
    <w:p w:rsidR="007900CF" w:rsidRDefault="007900CF" w:rsidP="009C1662"/>
    <w:p w:rsidR="007900CF" w:rsidRDefault="007900CF" w:rsidP="009C1662"/>
    <w:p w:rsidR="007900CF" w:rsidRDefault="007900CF" w:rsidP="009C1662"/>
    <w:p w:rsidR="007900CF" w:rsidRDefault="007900CF" w:rsidP="009C1662"/>
    <w:p w:rsidR="007900CF" w:rsidRDefault="007900CF" w:rsidP="009C1662"/>
    <w:p w:rsidR="007900CF" w:rsidRDefault="007900CF" w:rsidP="009C1662"/>
    <w:p w:rsidR="009C1662" w:rsidRPr="00752FF6" w:rsidRDefault="00BC4ED9" w:rsidP="007900CF">
      <w:pPr>
        <w:jc w:val="center"/>
        <w:rPr>
          <w:b/>
        </w:rPr>
      </w:pPr>
      <w:r w:rsidRPr="00752FF6">
        <w:rPr>
          <w:b/>
        </w:rPr>
        <w:lastRenderedPageBreak/>
        <w:t>References</w:t>
      </w:r>
    </w:p>
    <w:p w:rsidR="007900CF" w:rsidRPr="007900CF" w:rsidRDefault="00BC4ED9" w:rsidP="007900CF">
      <w:pPr>
        <w:ind w:left="720" w:hanging="720"/>
        <w:rPr>
          <w:rFonts w:cs="Times New Roman"/>
          <w:szCs w:val="24"/>
          <w:shd w:val="clear" w:color="auto" w:fill="FFFFFF"/>
        </w:rPr>
      </w:pPr>
      <w:r w:rsidRPr="007900CF">
        <w:rPr>
          <w:rFonts w:cs="Times New Roman"/>
          <w:szCs w:val="24"/>
          <w:shd w:val="clear" w:color="auto" w:fill="FFFFFF"/>
        </w:rPr>
        <w:t>Croxon, L., Deravin, L., &amp; Anderson, J. (2018). Dealing with end of life—New graduated nurse experiences. </w:t>
      </w:r>
      <w:r w:rsidRPr="007900CF">
        <w:rPr>
          <w:rFonts w:cs="Times New Roman"/>
          <w:i/>
          <w:iCs/>
          <w:szCs w:val="24"/>
          <w:shd w:val="clear" w:color="auto" w:fill="FFFFFF"/>
        </w:rPr>
        <w:t>Journal of clinical nursing</w:t>
      </w:r>
      <w:r w:rsidRPr="007900CF">
        <w:rPr>
          <w:rFonts w:cs="Times New Roman"/>
          <w:szCs w:val="24"/>
          <w:shd w:val="clear" w:color="auto" w:fill="FFFFFF"/>
        </w:rPr>
        <w:t>, </w:t>
      </w:r>
      <w:r w:rsidRPr="007900CF">
        <w:rPr>
          <w:rFonts w:cs="Times New Roman"/>
          <w:i/>
          <w:iCs/>
          <w:szCs w:val="24"/>
          <w:shd w:val="clear" w:color="auto" w:fill="FFFFFF"/>
        </w:rPr>
        <w:t>27</w:t>
      </w:r>
      <w:r w:rsidRPr="007900CF">
        <w:rPr>
          <w:rFonts w:cs="Times New Roman"/>
          <w:szCs w:val="24"/>
          <w:shd w:val="clear" w:color="auto" w:fill="FFFFFF"/>
        </w:rPr>
        <w:t>(1-2), 337-344.</w:t>
      </w:r>
    </w:p>
    <w:p w:rsidR="007900CF" w:rsidRPr="007900CF" w:rsidRDefault="00BC4ED9" w:rsidP="007900CF">
      <w:pPr>
        <w:ind w:left="720" w:hanging="720"/>
        <w:rPr>
          <w:rFonts w:cs="Times New Roman"/>
          <w:szCs w:val="24"/>
        </w:rPr>
      </w:pPr>
      <w:r w:rsidRPr="007900CF">
        <w:rPr>
          <w:rFonts w:cs="Times New Roman"/>
          <w:szCs w:val="24"/>
          <w:shd w:val="clear" w:color="auto" w:fill="FFFFFF"/>
        </w:rPr>
        <w:t>Lasater</w:t>
      </w:r>
      <w:r w:rsidRPr="007900CF">
        <w:rPr>
          <w:rFonts w:cs="Times New Roman"/>
          <w:szCs w:val="24"/>
          <w:shd w:val="clear" w:color="auto" w:fill="FFFFFF"/>
        </w:rPr>
        <w:t xml:space="preserve">, K. B., Sloane, D. M., McHugh, </w:t>
      </w:r>
      <w:bookmarkStart w:id="0" w:name="_GoBack"/>
      <w:bookmarkEnd w:id="0"/>
      <w:r w:rsidRPr="007900CF">
        <w:rPr>
          <w:rFonts w:cs="Times New Roman"/>
          <w:szCs w:val="24"/>
          <w:shd w:val="clear" w:color="auto" w:fill="FFFFFF"/>
        </w:rPr>
        <w:t>M. D., &amp; Aiken, L. H. (2019). Quality of end‐of‐life care and its association with nurse practice environments in US hospitals. </w:t>
      </w:r>
      <w:r w:rsidRPr="007900CF">
        <w:rPr>
          <w:rFonts w:cs="Times New Roman"/>
          <w:i/>
          <w:iCs/>
          <w:szCs w:val="24"/>
          <w:shd w:val="clear" w:color="auto" w:fill="FFFFFF"/>
        </w:rPr>
        <w:t>Journal of the American Geriatrics Society</w:t>
      </w:r>
      <w:r w:rsidRPr="007900CF">
        <w:rPr>
          <w:rFonts w:cs="Times New Roman"/>
          <w:szCs w:val="24"/>
          <w:shd w:val="clear" w:color="auto" w:fill="FFFFFF"/>
        </w:rPr>
        <w:t>, </w:t>
      </w:r>
      <w:r w:rsidRPr="007900CF">
        <w:rPr>
          <w:rFonts w:cs="Times New Roman"/>
          <w:i/>
          <w:iCs/>
          <w:szCs w:val="24"/>
          <w:shd w:val="clear" w:color="auto" w:fill="FFFFFF"/>
        </w:rPr>
        <w:t>67</w:t>
      </w:r>
      <w:r w:rsidRPr="007900CF">
        <w:rPr>
          <w:rFonts w:cs="Times New Roman"/>
          <w:szCs w:val="24"/>
          <w:shd w:val="clear" w:color="auto" w:fill="FFFFFF"/>
        </w:rPr>
        <w:t>(2), 302-308.</w:t>
      </w:r>
    </w:p>
    <w:sectPr w:rsidR="007900CF" w:rsidRPr="007900C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4ED9" w:rsidRDefault="00BC4ED9">
      <w:pPr>
        <w:spacing w:line="240" w:lineRule="auto"/>
      </w:pPr>
      <w:r>
        <w:separator/>
      </w:r>
    </w:p>
  </w:endnote>
  <w:endnote w:type="continuationSeparator" w:id="0">
    <w:p w:rsidR="00BC4ED9" w:rsidRDefault="00BC4ED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4ED9" w:rsidRDefault="00BC4ED9">
      <w:pPr>
        <w:spacing w:line="240" w:lineRule="auto"/>
      </w:pPr>
      <w:r>
        <w:separator/>
      </w:r>
    </w:p>
  </w:footnote>
  <w:footnote w:type="continuationSeparator" w:id="0">
    <w:p w:rsidR="00BC4ED9" w:rsidRDefault="00BC4ED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0374806"/>
      <w:docPartObj>
        <w:docPartGallery w:val="Page Numbers (Top of Page)"/>
        <w:docPartUnique/>
      </w:docPartObj>
    </w:sdtPr>
    <w:sdtEndPr>
      <w:rPr>
        <w:noProof/>
      </w:rPr>
    </w:sdtEndPr>
    <w:sdtContent>
      <w:p w:rsidR="009C1662" w:rsidRDefault="00BC4ED9">
        <w:pPr>
          <w:pStyle w:val="Header"/>
          <w:jc w:val="right"/>
        </w:pPr>
        <w:r>
          <w:fldChar w:fldCharType="begin"/>
        </w:r>
        <w:r>
          <w:instrText xml:space="preserve"> PAGE   \* MERGEFORMAT </w:instrText>
        </w:r>
        <w:r>
          <w:fldChar w:fldCharType="separate"/>
        </w:r>
        <w:r w:rsidR="00752FF6">
          <w:rPr>
            <w:noProof/>
          </w:rPr>
          <w:t>4</w:t>
        </w:r>
        <w:r>
          <w:rPr>
            <w:noProof/>
          </w:rPr>
          <w:fldChar w:fldCharType="end"/>
        </w:r>
      </w:p>
    </w:sdtContent>
  </w:sdt>
  <w:p w:rsidR="009C1662" w:rsidRDefault="009C16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7DEE"/>
    <w:rsid w:val="00003CCB"/>
    <w:rsid w:val="003D7F68"/>
    <w:rsid w:val="00752FF6"/>
    <w:rsid w:val="007900CF"/>
    <w:rsid w:val="008C4269"/>
    <w:rsid w:val="009C1662"/>
    <w:rsid w:val="009C3022"/>
    <w:rsid w:val="00BC4ED9"/>
    <w:rsid w:val="00DD7DEE"/>
    <w:rsid w:val="00F95D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Arial"/>
        <w:color w:val="222222"/>
        <w:sz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1662"/>
    <w:pPr>
      <w:tabs>
        <w:tab w:val="center" w:pos="4680"/>
        <w:tab w:val="right" w:pos="9360"/>
      </w:tabs>
      <w:spacing w:line="240" w:lineRule="auto"/>
    </w:pPr>
  </w:style>
  <w:style w:type="character" w:customStyle="1" w:styleId="HeaderChar">
    <w:name w:val="Header Char"/>
    <w:basedOn w:val="DefaultParagraphFont"/>
    <w:link w:val="Header"/>
    <w:uiPriority w:val="99"/>
    <w:rsid w:val="009C1662"/>
  </w:style>
  <w:style w:type="paragraph" w:styleId="Footer">
    <w:name w:val="footer"/>
    <w:basedOn w:val="Normal"/>
    <w:link w:val="FooterChar"/>
    <w:uiPriority w:val="99"/>
    <w:unhideWhenUsed/>
    <w:rsid w:val="009C1662"/>
    <w:pPr>
      <w:tabs>
        <w:tab w:val="center" w:pos="4680"/>
        <w:tab w:val="right" w:pos="9360"/>
      </w:tabs>
      <w:spacing w:line="240" w:lineRule="auto"/>
    </w:pPr>
  </w:style>
  <w:style w:type="character" w:customStyle="1" w:styleId="FooterChar">
    <w:name w:val="Footer Char"/>
    <w:basedOn w:val="DefaultParagraphFont"/>
    <w:link w:val="Footer"/>
    <w:uiPriority w:val="99"/>
    <w:rsid w:val="009C16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Arial"/>
        <w:color w:val="222222"/>
        <w:sz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1662"/>
    <w:pPr>
      <w:tabs>
        <w:tab w:val="center" w:pos="4680"/>
        <w:tab w:val="right" w:pos="9360"/>
      </w:tabs>
      <w:spacing w:line="240" w:lineRule="auto"/>
    </w:pPr>
  </w:style>
  <w:style w:type="character" w:customStyle="1" w:styleId="HeaderChar">
    <w:name w:val="Header Char"/>
    <w:basedOn w:val="DefaultParagraphFont"/>
    <w:link w:val="Header"/>
    <w:uiPriority w:val="99"/>
    <w:rsid w:val="009C1662"/>
  </w:style>
  <w:style w:type="paragraph" w:styleId="Footer">
    <w:name w:val="footer"/>
    <w:basedOn w:val="Normal"/>
    <w:link w:val="FooterChar"/>
    <w:uiPriority w:val="99"/>
    <w:unhideWhenUsed/>
    <w:rsid w:val="009C1662"/>
    <w:pPr>
      <w:tabs>
        <w:tab w:val="center" w:pos="4680"/>
        <w:tab w:val="right" w:pos="9360"/>
      </w:tabs>
      <w:spacing w:line="240" w:lineRule="auto"/>
    </w:pPr>
  </w:style>
  <w:style w:type="character" w:customStyle="1" w:styleId="FooterChar">
    <w:name w:val="Footer Char"/>
    <w:basedOn w:val="DefaultParagraphFont"/>
    <w:link w:val="Footer"/>
    <w:uiPriority w:val="99"/>
    <w:rsid w:val="009C16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4</Pages>
  <Words>490</Words>
  <Characters>2796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8</cp:revision>
  <dcterms:created xsi:type="dcterms:W3CDTF">2020-11-30T11:59:00Z</dcterms:created>
  <dcterms:modified xsi:type="dcterms:W3CDTF">2020-11-30T12:47:00Z</dcterms:modified>
</cp:coreProperties>
</file>